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Name the Problem Instructor Overview</w:t>
      </w:r>
    </w:p>
    <w:p>
      <w:pPr>
        <w:pStyle w:val="Subtitle"/>
      </w:pPr>
      <w:r>
        <w:rPr>
          <w:color w:val="000000"/>
        </w:rPr>
        <w:t>Yoav Duman | A solo activity for US Government and Comparative Politics</w:t>
      </w:r>
    </w:p>
    <w:p>
      <w:r>
        <w:t>Students develop and defend a public interpretation: name a pattern, compare two source graphs, respond to a framing challenge, and decide what deserves attention. Evidence constrains their claims; a benchmark and political value connect their interpretation to action, inquiry, or monitoring. First attempts and later reasoning remain visible in the full report.</w:t>
      </w:r>
    </w:p>
    <w:p>
      <w:pPr>
        <w:pStyle w:val="Heading2"/>
      </w:pPr>
      <w:r>
        <w:rPr>
          <w:color w:val="000000"/>
        </w:rPr>
        <w:t>Choose a course case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rPr>
          <w:cantSplit/>
          <w:tblHeader/>
        </w:trPr>
        <w:tc>
          <w:tcPr>
            <w:tcW w:type="dxa" w:w="2448"/>
            <w:vAlign w:val="center"/>
            <w:tcMar>
              <w:top w:w="90" w:type="dxa"/>
              <w:left w:w="100" w:type="dxa"/>
              <w:bottom w:w="9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54EEA"/>
          </w:tcPr>
          <w:p>
            <w:pPr>
              <w:spacing w:after="40" w:before="40" w:line="25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Course</w:t>
            </w:r>
          </w:p>
        </w:tc>
        <w:tc>
          <w:tcPr>
            <w:tcW w:type="dxa" w:w="7776"/>
            <w:vAlign w:val="center"/>
            <w:tcMar>
              <w:top w:w="90" w:type="dxa"/>
              <w:left w:w="100" w:type="dxa"/>
              <w:bottom w:w="9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54EEA"/>
          </w:tcPr>
          <w:p>
            <w:pPr>
              <w:spacing w:after="40" w:before="40" w:line="25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Political focus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90" w:type="dxa"/>
              <w:left w:w="100" w:type="dxa"/>
              <w:bottom w:w="9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US Government</w:t>
            </w:r>
          </w:p>
        </w:tc>
        <w:tc>
          <w:tcPr>
            <w:tcW w:type="dxa" w:w="7776"/>
            <w:vAlign w:val="center"/>
            <w:tcMar>
              <w:top w:w="90" w:type="dxa"/>
              <w:left w:w="100" w:type="dxa"/>
              <w:bottom w:w="9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Congressional representation, historical change, a population benchmark, and descriptive versus substantive representation.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90" w:type="dxa"/>
              <w:left w:w="100" w:type="dxa"/>
              <w:bottom w:w="9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F3F9"/>
          </w:tcPr>
          <w:p>
            <w:pPr>
              <w:spacing w:after="40" w:before="4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Comparative Politics</w:t>
            </w:r>
          </w:p>
        </w:tc>
        <w:tc>
          <w:tcPr>
            <w:tcW w:type="dxa" w:w="7776"/>
            <w:vAlign w:val="center"/>
            <w:tcMar>
              <w:top w:w="90" w:type="dxa"/>
              <w:left w:w="100" w:type="dxa"/>
              <w:bottom w:w="9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F3F9"/>
          </w:tcPr>
          <w:p>
            <w:pPr>
              <w:spacing w:after="40" w:before="40" w:line="257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Democracy counted by polities and weighted by population, regime classification, and the limits of aggregate evidence.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color w:val="000000"/>
        </w:rPr>
        <w:t>What students practice</w:t>
      </w:r>
    </w:p>
    <w:p>
      <w:pPr>
        <w:spacing w:after="100"/>
        <w:ind w:left="173" w:hanging="173"/>
      </w:pPr>
      <w:r>
        <w:t>• Identify units, denominators, dates, comparisons, and source limits.</w:t>
      </w:r>
    </w:p>
    <w:p>
      <w:pPr>
        <w:spacing w:after="100"/>
        <w:ind w:left="173" w:hanging="173"/>
      </w:pPr>
      <w:r>
        <w:t>• Ask what kind of claim is being made and what support the graphs provide. A possible explanation can be plausible yet untested; an unsupported conclusion expresses more certainty than the evidence allows.</w:t>
      </w:r>
    </w:p>
    <w:p>
      <w:pPr>
        <w:spacing w:after="100"/>
        <w:ind w:left="173" w:hanging="173"/>
      </w:pPr>
      <w:r>
        <w:t>• Keep, qualify, or replace a sound first interpretation. Write a final public statement for the poster and a separate brief reason for that choice; changing your mind does not automatically earn more credit.</w:t>
      </w:r>
    </w:p>
    <w:p>
      <w:pPr>
        <w:spacing w:after="100"/>
        <w:ind w:left="173" w:hanging="173"/>
      </w:pPr>
      <w:r>
        <w:t>• Defend action, inquiry, or monitoring with an actor, a limitation, and a reconsideration condition.</w:t>
      </w:r>
    </w:p>
    <w:p>
      <w:pPr>
        <w:pStyle w:val="Heading2"/>
      </w:pPr>
      <w:r>
        <w:rPr>
          <w:color w:val="000000"/>
        </w:rPr>
        <w:t>Plan and collect</w:t>
      </w:r>
    </w:p>
    <w:p>
      <w:r>
        <w:t>For a 50-minute class, plan 3 minutes to introduce the task, 30 for solo play, 12 for discussion, and 5 for saving and submission. Core and Full keep every stage; Core invites shorter responses. The 25- and 37-minute play estimates need student piloting.</w:t>
      </w:r>
    </w:p>
    <w:p>
      <w:r>
        <w:t>Ask for the full PDF report or response text uploaded to Canvas. Printing and downloading do not submit work. The poster is a communication product; the JSON backup restores progress. Have students keep backups and recovery keys private.</w:t>
      </w:r>
    </w:p>
    <w:p>
      <w:pPr>
        <w:pStyle w:val="Heading2"/>
      </w:pPr>
      <w:r>
        <w:rPr>
          <w:color w:val="000000"/>
        </w:rPr>
        <w:t>Assess the reasoning</w:t>
      </w:r>
    </w:p>
    <w:p>
      <w:r>
        <w:t>Suggested weights: chart reading and comparison 30 percent; evidence and inference 30 percent; political reasoning 30 percent; clarity and reflection 10 percent. Review open responses and the new-chart challenge; successful claim sorting alone is not mastery. Assess evidence and justified reasoning, not policy agreement, amount of prose, artistic skill, or willingness to change a sound answer. Badges indicate recorded steps.</w:t>
      </w:r>
    </w:p>
    <w:p>
      <w:pPr>
        <w:pStyle w:val="Heading2"/>
      </w:pPr>
      <w:r>
        <w:rPr>
          <w:color w:val="000000"/>
        </w:rPr>
        <w:t>Pair with The Complaints Department</w:t>
      </w:r>
    </w:p>
    <w:p>
      <w:pPr/>
      <w:r>
        <w:t>The Complaints Department asks whether a public reply answers a resident’s question, what the evidence establishes, and what useful response should follow. Name the Problem asks students to choose and defend a public interpretation, benchmark, and political priority. Each works independently.</w:t>
      </w:r>
    </w:p>
    <w:p>
      <w:pPr/>
      <w:r>
        <w:t>For a two-class sequence, assign Complaints’ Earnings file first, then congressional representation in US Government or the democracy case in Comparative Politics during another meeting. Bridge them with two questions: what kind of claim is being made, and what support does the evidence provide? Debrief which judgment carried over and which required a value. Avoid assigning both full activities in one session.</w:t>
      </w:r>
    </w:p>
    <w:p>
      <w:pPr/>
      <w:r>
        <w:t>Complaints activity and instructor notes: https://yoavduman.com/lab/the-complaints-department</w:t>
      </w:r>
    </w:p>
    <w:p>
      <w:r>
        <w:t>Instructor controls adjust instructions, available cases, default guidance, and badges. Historical source dates and limitations stay visible; simulation values and artwork are not empirical evidence.</w:t>
      </w:r>
    </w:p>
    <w:p>
      <w:r>
        <w:rPr>
          <w:sz w:val="20"/>
        </w:rPr>
        <w:t>Play the game: https://name-the-problem.ishmaldon.chatgpt.site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Yoav Duman | Name the Problem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the Problem Instructor Overview</dc:title>
  <dc:subject>Teaching political science and graph literacy</dc:subject>
  <dc:creator>Yoav Duman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